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3" w:lineRule="auto"/>
        <w:ind w:left="3652" w:right="3211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BIBLIOGRAFÍA RECOMENDADA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"/>
        </w:tabs>
        <w:spacing w:after="0" w:before="86" w:line="240" w:lineRule="auto"/>
        <w:ind w:left="46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Selección de manuales de tratamiento para adicciones y psicopatología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Español: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2022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-Secades-Villa, R., García-Fernández, G. y Fernández-Artamendi, S. (Coords.). (2022). Manual de conductas adictivas. Pirámide.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-Secades-Villa, R., García-Fernández, G., Weidberg, S. y González-Roz, A. (2022). Manual de prácticas de conductas adictivas. Pirámide.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2011-2020</w:t>
      </w:r>
    </w:p>
    <w:p w:rsidR="00000000" w:rsidDel="00000000" w:rsidP="00000000" w:rsidRDefault="00000000" w:rsidRPr="00000000" w14:paraId="0000000C">
      <w:pPr>
        <w:spacing w:before="174" w:lineRule="auto"/>
        <w:jc w:val="both"/>
        <w:rPr/>
      </w:pPr>
      <w:r w:rsidDel="00000000" w:rsidR="00000000" w:rsidRPr="00000000">
        <w:rPr>
          <w:rtl w:val="0"/>
        </w:rPr>
        <w:t xml:space="preserve">-Becoña Iglesias, E. (2016).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Trastornos adictivos</w:t>
      </w:r>
      <w:r w:rsidDel="00000000" w:rsidR="00000000" w:rsidRPr="00000000">
        <w:rPr>
          <w:rtl w:val="0"/>
        </w:rPr>
        <w:t xml:space="preserve">. Síntesis.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0" w:right="54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-Becoña, E. (2010). Dependencia del tabaco. Manual  de  casos clínicos. Sociedad Española de Psicología Clínica, Legal y Forense.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-Becoña Iglesias, E., López Durán, A., &amp; Martínez González, J.M. (2020). Cocaína, cannabis y heroína.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Editorial Síntesis.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0" w:right="54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-Barraca, J. (2018). Tratando con…activación conductual, habilidades terapéuticas para su puesta en práctica. Pirámide.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-Bowen, S., Chawla, N., &amp; Marlatt, G.A. (2013). Prevención de recaídas en conductas adictivas basada en Mindfulness. Guía Clínica. Desclée de Brouwer.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0" w:right="9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-García-Rodríguez, O., García-Fernández, G., &amp; Secades Villa, R. (2011). Manejo de contingencias en el tratamiento de las adicciones. En E. J. Pedrero (Ed.),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Neurociencia y adicción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(pp. 241-254). Sociedad Española de Toxicomanías.</w:t>
      </w:r>
    </w:p>
    <w:p w:rsidR="00000000" w:rsidDel="00000000" w:rsidP="00000000" w:rsidRDefault="00000000" w:rsidRPr="00000000" w14:paraId="00000012">
      <w:pPr>
        <w:spacing w:before="164" w:line="259" w:lineRule="auto"/>
        <w:ind w:right="676"/>
        <w:jc w:val="both"/>
        <w:rPr/>
      </w:pPr>
      <w:r w:rsidDel="00000000" w:rsidR="00000000" w:rsidRPr="00000000">
        <w:rPr>
          <w:rtl w:val="0"/>
        </w:rPr>
        <w:t xml:space="preserve">-Secades-Villa, R., González-Roz, A., Weidberg, S., &amp; García-Fernández, G. (2021). Tratamientos psicológicos para los trastornos debidos al consumo de sustancias. En F. Pedrero (Ed.),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Manual de tratamientos psicológicos: Adultos. </w:t>
      </w:r>
      <w:r w:rsidDel="00000000" w:rsidR="00000000" w:rsidRPr="00000000">
        <w:rPr>
          <w:rtl w:val="0"/>
        </w:rPr>
        <w:t xml:space="preserve">Pirámide.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567" w:right="95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Inglés: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2007-2021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8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-Higgins, S. T., Heil, S. H., &amp; Sigmon, S. C. (2007). A behavioral approach to the treatment of substance use disorders. En P. Sturmey (Ed.),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Functional Analysis in Clinical Treatment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(pp. 261-282). New York, NY: Academic Press.</w:t>
      </w:r>
    </w:p>
    <w:p w:rsidR="00000000" w:rsidDel="00000000" w:rsidP="00000000" w:rsidRDefault="00000000" w:rsidRPr="00000000" w14:paraId="00000019">
      <w:pPr>
        <w:spacing w:before="119" w:lineRule="auto"/>
        <w:ind w:right="582"/>
        <w:jc w:val="both"/>
        <w:rPr/>
      </w:pPr>
      <w:r w:rsidDel="00000000" w:rsidR="00000000" w:rsidRPr="00000000">
        <w:rPr>
          <w:rtl w:val="0"/>
        </w:rPr>
        <w:t xml:space="preserve">-Higgins, S. T., Silverman, K., &amp; Heil, S. H. (2007).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Contingency management in substance abuse treatment</w:t>
      </w:r>
      <w:r w:rsidDel="00000000" w:rsidR="00000000" w:rsidRPr="00000000">
        <w:rPr>
          <w:rtl w:val="0"/>
        </w:rPr>
        <w:t xml:space="preserve">. New York, NY: The Guilford Press.</w:t>
      </w:r>
    </w:p>
    <w:p w:rsidR="00000000" w:rsidDel="00000000" w:rsidP="00000000" w:rsidRDefault="00000000" w:rsidRPr="00000000" w14:paraId="0000001A">
      <w:pPr>
        <w:spacing w:before="121" w:lineRule="auto"/>
        <w:ind w:right="583"/>
        <w:jc w:val="both"/>
        <w:rPr/>
      </w:pPr>
      <w:r w:rsidDel="00000000" w:rsidR="00000000" w:rsidRPr="00000000">
        <w:rPr>
          <w:rtl w:val="0"/>
        </w:rPr>
        <w:t xml:space="preserve">-Kim, H. S., &amp; Hodgins, D. C. (2021).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The Transdiagnostic Mechanisms of Behavioral Addictions and Their Treatment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Textbook of Addiction Treatment </w:t>
      </w:r>
      <w:r w:rsidDel="00000000" w:rsidR="00000000" w:rsidRPr="00000000">
        <w:rPr>
          <w:rtl w:val="0"/>
        </w:rPr>
        <w:t xml:space="preserve">(pp. 911–927). Springer International Publishing.</w:t>
      </w:r>
    </w:p>
    <w:p w:rsidR="00000000" w:rsidDel="00000000" w:rsidP="00000000" w:rsidRDefault="00000000" w:rsidRPr="00000000" w14:paraId="0000001B">
      <w:pPr>
        <w:spacing w:before="122" w:line="259" w:lineRule="auto"/>
        <w:ind w:right="545"/>
        <w:jc w:val="both"/>
        <w:rPr/>
      </w:pPr>
      <w:r w:rsidDel="00000000" w:rsidR="00000000" w:rsidRPr="00000000">
        <w:rPr>
          <w:rtl w:val="0"/>
        </w:rPr>
        <w:t xml:space="preserve">-McKay, M., Wood, J.C., &amp; Brantley, J. (2020).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Manual práctico de terapia dialéctico conductual. Ejercicios prácticos de TDC para aprendizaje de Mindfulness, eficacia interpersonal, regulación emocional y tolerancia a la angustia</w:t>
      </w:r>
      <w:r w:rsidDel="00000000" w:rsidR="00000000" w:rsidRPr="00000000">
        <w:rPr>
          <w:rtl w:val="0"/>
        </w:rPr>
        <w:t xml:space="preserve">. Desclée de Brouwer. Bilbao: Madrid.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59" w:lineRule="auto"/>
        <w:ind w:left="0" w:right="67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-McMain, S., Sayrs, J. H. R., Dimeff, L. A., &amp; Linehan, M.M. (2007). Dialectical Behavior Therapy for individuals with borderline personality disorder and substance dependence. En Linda A. Dimeff &amp; K. Koerner (Eds.), Dialectical Behavior Therapy in Clinical Practice. Applications across disorders and settings. The Guildford Press.</w:t>
      </w:r>
    </w:p>
    <w:p w:rsidR="00000000" w:rsidDel="00000000" w:rsidP="00000000" w:rsidRDefault="00000000" w:rsidRPr="00000000" w14:paraId="0000001D">
      <w:pPr>
        <w:spacing w:before="160" w:line="256" w:lineRule="auto"/>
        <w:ind w:right="545"/>
        <w:jc w:val="both"/>
        <w:rPr/>
      </w:pPr>
      <w:r w:rsidDel="00000000" w:rsidR="00000000" w:rsidRPr="00000000">
        <w:rPr>
          <w:rtl w:val="0"/>
        </w:rPr>
        <w:t xml:space="preserve">-Petry, N. M. (2012).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Contingency management for substance abuse treatment: A guide to implementing this evidence-based practice. </w:t>
      </w:r>
      <w:r w:rsidDel="00000000" w:rsidR="00000000" w:rsidRPr="00000000">
        <w:rPr>
          <w:rtl w:val="0"/>
        </w:rPr>
        <w:t xml:space="preserve">Routledge/Taylor &amp; Francis Group.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" w:line="259" w:lineRule="auto"/>
        <w:ind w:left="0" w:right="676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10" w:orient="portrait"/>
      <w:pgMar w:bottom="280" w:top="1320" w:left="580" w:right="1020" w:header="75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459423</wp:posOffset>
              </wp:positionV>
              <wp:extent cx="2185670" cy="1752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57928" y="3697133"/>
                        <a:ext cx="21761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Conductas Adictivas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1063308</wp:posOffset>
              </wp:positionH>
              <wp:positionV relativeFrom="page">
                <wp:posOffset>459423</wp:posOffset>
              </wp:positionV>
              <wp:extent cx="2185670" cy="17526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85670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es-ES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pPr>
      <w:ind w:left="1602" w:hanging="480"/>
      <w:jc w:val="both"/>
    </w:pPr>
  </w:style>
  <w:style w:type="paragraph" w:styleId="Prrafodelista">
    <w:name w:val="List Paragraph"/>
    <w:basedOn w:val="Normal"/>
    <w:uiPriority w:val="1"/>
    <w:qFormat w:val="1"/>
    <w:pPr>
      <w:spacing w:before="86"/>
      <w:ind w:left="466" w:hanging="362"/>
    </w:pPr>
    <w:rPr>
      <w:rFonts w:ascii="Arial" w:cs="Arial" w:eastAsia="Arial" w:hAnsi="Arial"/>
    </w:rPr>
  </w:style>
  <w:style w:type="paragraph" w:styleId="TableParagraph" w:customStyle="1">
    <w:name w:val="Table Paragraph"/>
    <w:basedOn w:val="Normal"/>
    <w:uiPriority w:val="1"/>
    <w:qFormat w:val="1"/>
  </w:style>
  <w:style w:type="paragraph" w:styleId="Encabezado">
    <w:name w:val="header"/>
    <w:basedOn w:val="Normal"/>
    <w:link w:val="EncabezadoCar"/>
    <w:uiPriority w:val="99"/>
    <w:unhideWhenUsed w:val="1"/>
    <w:rsid w:val="00A6177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6177A"/>
    <w:rPr>
      <w:rFonts w:ascii="Arial MT" w:cs="Arial MT" w:eastAsia="Arial MT" w:hAnsi="Arial MT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A6177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6177A"/>
    <w:rPr>
      <w:rFonts w:ascii="Arial MT" w:cs="Arial MT" w:eastAsia="Arial MT" w:hAnsi="Arial MT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eP3bOX73eh2xXnpprOJo01mDQ==">AMUW2mVm9SUds62kIjqrO6AII6Ye1y3uP3Z3i2P4QdOUNf9C/I32dd4xN8xz2V2zBRsWjGb0RUkjX7Hp6m7O0zqC6eK7eVr/HcAPs3/R9duX41WHA83Wku/DgSa3es9Eb12hcLrTo1yH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2022-09-28T11:21:00Z</dcterms:created>
  <dc:creator>Alba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2022-09-28T00:00:00Z</vt:filetime>
  </property>
</Properties>
</file>